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Vitéz László program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Állatmesék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Intézmény neve, helye: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Mese címe: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Mesefoglalkozást tartják: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Kísérők: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témanap felépítése, menete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Eszközök, szervezési feladatok, megjegyzések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Érkezés a helyszínre: 8.00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Témanap kezdete: 9.00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Motiváció, hangolódás – 5-10 perc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pl. „Járj úgy, mint…”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Bábelőadás – 20-30 perc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Táncház – 10-15 perc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Szünet, átállás – 20-25 perc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Kézműves alkotótevékenység – 45 perc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Helyszín előkészítése: nézőtér berendezése, előadás kellékeinek előkészítése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Drámajátékok, mozgásos feladatok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Az előadás folyamán ismerkedés a különböző tájegységek pásztorfurulyáival, különböző méretű kobzokkal, dorombokkal, ütőgardonokkal, illetve a kecskedudával, azok hangjával, a méret és hangmagasság közti összefüggésekkel.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átalakítása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Eszköz: hangszer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Óvodapedagógusok, részt vevők igénye szerint – lehetőség mosdóhasználatra, gyümölcsfogyasztásra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és kellékek előkészítése kézműves alkotótevékenységhez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Kellékek: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Differenciálás: SNI gyermekek aktív bevonása, segítése, előre egyeztetve a pedagógusokkal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Megjegyzések, megvalósulás, értékelés</w:t>
            </w:r>
          </w:p>
        </w:tc>
      </w:tr>
      <w:tr>
        <w:trPr>
          <w:cantSplit w:val="0"/>
          <w:trHeight w:val="1345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B3lPApbWYad3KI3r/00kFT5tw==">CgMxLjA4AHIhMU92RTBzUWZvWmlQZE5LT2pqU0ZuT2N5WFRSNmU4LU56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