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Vitéz László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„Krisztus Urunk a földön jár”, „Krisztus Urunk és Szent Péter” típusmesék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Intézmény neve, helye: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Mese címe: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Mesefoglalkozást tartják: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Kísérők: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gridCol w:w="203"/>
        <w:tblGridChange w:id="0">
          <w:tblGrid>
            <w:gridCol w:w="4531"/>
            <w:gridCol w:w="4531"/>
            <w:gridCol w:w="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témanap felépítése, menete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Eszközök, szervezési feladatok, megjegyzések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Érkezés a helyszínre: 8.00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Témanap kezdete: 9.00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Motiváció, hangolódás – 5-10 perc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pl. „Járj úgy, mint…”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Bábelőadás – 20-30 perc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Táncház – 10-15 perc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Szünet, átállás – 20-25 perc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Kézműves alkotótevékenység – 45 perc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Fonalbárány készítése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Helyszín előkészítése: nézőtér berendezése, előadás kellékeinek előkészítése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Drámajátékok, mozgásos feladatok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Az előadás folyamán ismerkedés a különböző tájegységek pásztorfurulyáival, különböző méretű kobzokkal, dorombokkal, ütőgardonokkal, illetve a kecskedudával, azok hangjával, a méret és hangmagasság közti összefüggésekkel.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átalakítása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Eszköz: hangszer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Óvodapedagógusok, részt vevők igénye szerint – lehetőség mosdóhasználatra, gyümölcsfogyasztásra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és kellékek előkészítése kézműves alkotótevékenységhez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Kellékek: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Vastag fehér és fekete gyapúfonal, fekete filcanyag, olló, folyékony ragasztó, fehér filctoll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Differenciálás: SNI gyermekek aktív bevonása, segítése, előre egyeztetve a pedagógusokkal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Megjegyzések, megvalósulás, értékelés</w:t>
            </w:r>
          </w:p>
        </w:tc>
      </w:tr>
      <w:tr>
        <w:trPr>
          <w:cantSplit w:val="0"/>
          <w:trHeight w:val="134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x9kEnVpYTIBV1IUHScIEWmkng==">CgMxLjA4AHIhMTlOZDNMQ3M3WWs5VGFxU3RtRWxTMzJPbng1cDhjSFpy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