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Vitéz László program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Magyar eredetmondák – „A csodaszarvas” típusmesék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Dátum: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Intézmény neve, helye: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Mese címe: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Mesefoglalkozást tartják: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Kísérők: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gridCol w:w="203"/>
        <w:tblGridChange w:id="0">
          <w:tblGrid>
            <w:gridCol w:w="4531"/>
            <w:gridCol w:w="4531"/>
            <w:gridCol w:w="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témanap felépítése, menete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Eszközök, szervezési feladatok, megjegyzések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Érkezés a helyszínre: 8.00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Témanap kezdete: 9.00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Motiváció, hangolódás – 5-10 perc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pl. „Hol szól, ki szól?” – Csodaszarvas vadászat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Bábelőadás – 20-30 perc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Táncház – 10-15 perc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Szünet, átállás – 20-25 perc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Kézműves alkotótevékenység – 45 perc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Csodaszarvas hurkapálcán/ Hunor és Magyar vitézek paripái hurkapálcán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Helyszín előkészítése: nézőtér berendezése, előadás kellékeinek előkészítése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Drámajátékok, mozgásos feladatok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Az előadás közben és után a gyermekek megismerkedhetnek a keleti egzotikus morinhúr, saz, ud, koboz, kazah dombra, kaval és furulya hangszerekkel, melyek megidézhetik Ázsiából vándorló eleink zenei világát, mely gyökerek, zenei motívumok mai népzenénkben is fellelhetőek. (Pl: pentaton skála)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Szervezési feladatok: helyszín átalakítása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Eszköz: hangszer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Óvodapedagógusok, résztvevők igénye szerint – lehetőség mosdóhasználatra, gyümölcsfogyasztásra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Szervezési feladatok: helyszín és kellékek előkészítése kézműves alkotótevékenységhez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Kellékek: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szarvas-/lófej sablon, magyar jelképek és motívum-sablonok, minták, olló, erős színes papír (fehér, barna, szükre, arany), színes cerzua, hurkapálca, ragasztó, fonal, lyukasztó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Differenciálás: SNI gyermekek aktív bevonása, segítése, előre egyeztetve a pedagógusokkal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Megjegyzések, megvalósulás, értékelés</w:t>
            </w:r>
          </w:p>
        </w:tc>
      </w:tr>
      <w:tr>
        <w:trPr>
          <w:cantSplit w:val="0"/>
          <w:trHeight w:val="1345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Rhz/sUpzncYzd9ACkFomHMlAig==">CgMxLjAyCGguZ2pkZ3hzOAByITFvOGdBWC1VcHZUcmF0SFNyeU9FNTBNSFg5UHFRMG15Mg==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