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Vitéz László program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Mátyás királyról szóló típusmesék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Dátum: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Intézmény neve, helye: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Mese címe: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Mesefoglalkozást tartják: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Kísérők: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 témanap felépítése, menete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Eszközök, szervezési feladatok, megjegyzések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Érkezés a helyszínre: 8.00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Témanap kezdete: 9.00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Motiváció, hangolódás – 5-10 perc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pl. „Járj úgy, mint…” 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Bábelőadás – 20-30 perc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Táncház – 10-15 perc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Szünet, átállás – 20-25 perc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Kézműves alkotótevékenység – 45 perc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Szent korona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Helyszín előkészítése: nézőtér berendezése, előadás kellékeinek előkészítése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Drámajátékok, mozgásos feladatok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Az előadás folyamán ismerkedés a különböző tájegységek pásztorfurulyáival, különböző méretű kobzokkal, dorombokkal, ütőgardonokkal, illetve a kecskedudával, azok hangjával, a méret és hangmagasság közti összefüggésekkel.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Szervezési feladatok: helyszín átalakítása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Eszköz: hangszer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Óvodapedagógusok, részt vevők igénye szerint – lehetőség mosdóhasználatra, gyümölcsfogyasztásra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Szervezési feladatok: helyszín és kellékek előkészítése kézműves alkotótevékenységhez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Kellékek: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Sárga vagy arany kartonpapír, színes, mintás, csillogós, stb papírok, hurkapálca, vékony spárga, olló, ragasztó, tűzőgép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Differenciálás: SNI gyermekek aktív bevonása, segítése, előre egyeztetve a pedagógusokkal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926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65"/>
        <w:tblGridChange w:id="0">
          <w:tblGrid>
            <w:gridCol w:w="9265"/>
          </w:tblGrid>
        </w:tblGridChange>
      </w:tblGrid>
      <w:tr>
        <w:trPr>
          <w:cantSplit w:val="0"/>
          <w:trHeight w:val="416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Megjegyzések, megvalósulás, értékelés</w:t>
            </w:r>
          </w:p>
        </w:tc>
      </w:tr>
      <w:tr>
        <w:trPr>
          <w:cantSplit w:val="0"/>
          <w:trHeight w:val="13458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u-HU"/>
      </w:rPr>
    </w:rPrDefault>
    <w:pPrDefault>
      <w:pPr>
        <w:spacing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DLvFZjeTl0JSvF5u9PTlOsLcQA==">CgMxLjA4AHIhMTBHY3VpakRFNzBVVmRRRFlST3c4Y3pzbjVQejNGOWFJ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