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Vitéz László program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Varázsmesék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Dátum: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Intézmény neve, helye: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Mese címe: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Mesefoglalkozást tartják: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Kísérők: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témanap felépítése, menete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Eszközök, szervezési feladatok, megjegyzések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Érkezés a helyszínre: 8.00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Témanap kezdete: 9.00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Motiváció, hangolódás – 5-10 perc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pl. „Járj úgy, mint…” 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Bábelőadás – 20-30 perc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Táncház – 10-15 perc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Szünet, átállás – 20-25 perc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Kézműves alkotótevékenység – 45 perc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Helyszín előkészítése: nézőtér berendezése, előadás kellékeinek előkészítése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Drámajátékok, mozgásos feladatok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Az előadás folyamán ismerkedés a különböző tájegységek pásztorfurulyáival, különböző méretű kobzokkal, dorombokkal, ütőgardonokkal, illetve a kecskedudával, azok hangjával, a méret és hangmagasság közti összefüggésekkel.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Szervezési feladatok: helyszín átalakítása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Eszköz: hangszer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Óvodapedagógusok, részt vevők igénye szerint – lehetőség mosdóhasználatra, gyümölcsfogyasztásra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Szervezési feladatok: helyszín és kellékek előkészítése kézműves alkotótevékenységhez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Kellékek: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Differenciálás: SNI gyermekek aktív bevonása, segítése, előre egyeztetve a pedagógusokkal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2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65"/>
        <w:tblGridChange w:id="0">
          <w:tblGrid>
            <w:gridCol w:w="9265"/>
          </w:tblGrid>
        </w:tblGridChange>
      </w:tblGrid>
      <w:tr>
        <w:trPr>
          <w:cantSplit w:val="0"/>
          <w:trHeight w:val="416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Megjegyzések, megvalósulás, értékelés</w:t>
            </w:r>
          </w:p>
        </w:tc>
      </w:tr>
      <w:tr>
        <w:trPr>
          <w:cantSplit w:val="0"/>
          <w:trHeight w:val="13458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StFtxoYduLz9nghfotBgOhZG8Q==">CgMxLjA4AHIhMWxWZExhMWQ0MWRDdHhQTk5ON0pQMHhkMHM1VFUtcGph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